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954E" w14:textId="1665AA90" w:rsidR="00BE60F8" w:rsidRDefault="00BC6E93" w:rsidP="00337286">
      <w:pPr>
        <w:rPr>
          <w:rFonts w:ascii="Century Gothic" w:eastAsia="Times New Roman" w:hAnsi="Century Gothic" w:cs="Times New Roman"/>
          <w:b/>
          <w:bCs/>
          <w:color w:val="595959" w:themeColor="text1" w:themeTint="A6"/>
          <w:sz w:val="44"/>
          <w:szCs w:val="44"/>
        </w:rPr>
      </w:pPr>
      <w:r w:rsidRPr="0043187A">
        <w:rPr>
          <w:b/>
          <w:noProof/>
          <w:color w:val="595959"/>
          <w:sz w:val="46"/>
          <w:szCs w:val="46"/>
        </w:rPr>
        <w:drawing>
          <wp:anchor distT="0" distB="0" distL="114300" distR="114300" simplePos="0" relativeHeight="251659264" behindDoc="0" locked="0" layoutInCell="1" allowOverlap="1" wp14:anchorId="554D1E2B" wp14:editId="2D664F35">
            <wp:simplePos x="0" y="0"/>
            <wp:positionH relativeFrom="column">
              <wp:posOffset>6486525</wp:posOffset>
            </wp:positionH>
            <wp:positionV relativeFrom="paragraph">
              <wp:posOffset>0</wp:posOffset>
            </wp:positionV>
            <wp:extent cx="2800350" cy="556975"/>
            <wp:effectExtent l="0" t="0" r="0" b="0"/>
            <wp:wrapNone/>
            <wp:docPr id="1018812644" name="Picture 3"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12644" name="Picture 3" descr="A blue background with white text&#10;&#10;Description automatically generated">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800350" cy="556975"/>
                    </a:xfrm>
                    <a:prstGeom prst="rect">
                      <a:avLst/>
                    </a:prstGeom>
                  </pic:spPr>
                </pic:pic>
              </a:graphicData>
            </a:graphic>
            <wp14:sizeRelH relativeFrom="page">
              <wp14:pctWidth>0</wp14:pctWidth>
            </wp14:sizeRelH>
            <wp14:sizeRelV relativeFrom="page">
              <wp14:pctHeight>0</wp14:pctHeight>
            </wp14:sizeRelV>
          </wp:anchor>
        </w:drawing>
      </w:r>
      <w:r w:rsidR="00337286">
        <w:rPr>
          <w:rFonts w:ascii="Century Gothic" w:hAnsi="Century Gothic"/>
          <w:b/>
          <w:color w:val="595959" w:themeColor="text1" w:themeTint="A6"/>
          <w:sz w:val="44"/>
        </w:rPr>
        <w:t xml:space="preserve">Exemple de modèle de plan d’affaires </w:t>
      </w:r>
      <w:r>
        <w:rPr>
          <w:rFonts w:ascii="Century Gothic" w:hAnsi="Century Gothic"/>
          <w:b/>
          <w:color w:val="595959" w:themeColor="text1" w:themeTint="A6"/>
          <w:sz w:val="44"/>
        </w:rPr>
        <w:br/>
      </w:r>
      <w:r w:rsidR="00337286">
        <w:rPr>
          <w:rFonts w:ascii="Century Gothic" w:hAnsi="Century Gothic"/>
          <w:b/>
          <w:color w:val="595959" w:themeColor="text1" w:themeTint="A6"/>
          <w:sz w:val="44"/>
        </w:rPr>
        <w:t>stratégique annuel</w:t>
      </w:r>
    </w:p>
    <w:p w14:paraId="30B9B929" w14:textId="77777777" w:rsidR="006C489B" w:rsidRDefault="006C489B" w:rsidP="006C489B">
      <w:pPr>
        <w:rPr>
          <w:rFonts w:ascii="Century Gothic" w:eastAsia="Times New Roman" w:hAnsi="Century Gothic" w:cs="Times New Roman"/>
          <w:i/>
          <w:iCs/>
          <w:color w:val="595959" w:themeColor="text1" w:themeTint="A6"/>
        </w:rPr>
      </w:pPr>
    </w:p>
    <w:p w14:paraId="2D0AF11C" w14:textId="5B3238CB" w:rsidR="006C489B" w:rsidRPr="00916D1D" w:rsidRDefault="006C489B" w:rsidP="006C489B">
      <w:pPr>
        <w:rPr>
          <w:rFonts w:ascii="Century Gothic" w:eastAsia="Times New Roman" w:hAnsi="Century Gothic" w:cs="Times New Roman"/>
          <w:i/>
          <w:iCs/>
          <w:color w:val="595959" w:themeColor="text1" w:themeTint="A6"/>
          <w:sz w:val="22"/>
          <w:szCs w:val="22"/>
        </w:rPr>
      </w:pPr>
      <w:r w:rsidRPr="00916D1D">
        <w:rPr>
          <w:rFonts w:ascii="Century Gothic" w:hAnsi="Century Gothic"/>
          <w:i/>
          <w:color w:val="595959" w:themeColor="text1" w:themeTint="A6"/>
          <w:sz w:val="22"/>
          <w:szCs w:val="22"/>
        </w:rPr>
        <w:t xml:space="preserve">Ce plan stratégique décrit la voie à suivre par Positive Charge pour devenir un leader dans le secteur de la recharge des véhicules électriques en se concentrant sur l’expansion, la satisfaction client et la pénétration du marché au cours de l’année prochaine. </w:t>
      </w:r>
    </w:p>
    <w:p w14:paraId="695C0EB9" w14:textId="77777777" w:rsidR="00D50C7B" w:rsidRPr="00D50C7B" w:rsidRDefault="00D50C7B" w:rsidP="00337286">
      <w:pPr>
        <w:rPr>
          <w:rFonts w:ascii="Century Gothic" w:eastAsia="Times New Roman" w:hAnsi="Century Gothic" w:cs="Times New Roman"/>
          <w:b/>
          <w:bCs/>
          <w:color w:val="595959" w:themeColor="text1" w:themeTint="A6"/>
        </w:rPr>
      </w:pPr>
    </w:p>
    <w:p w14:paraId="324AB0DF" w14:textId="77777777" w:rsidR="00D50C7B" w:rsidRPr="00D50C7B" w:rsidRDefault="00D50C7B" w:rsidP="00D50C7B">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VUE D’ENSEMBLE DE L’ENTREPRISE</w:t>
      </w:r>
    </w:p>
    <w:p w14:paraId="7A2BF703" w14:textId="77777777" w:rsidR="00BE60F8" w:rsidRPr="00BE60F8" w:rsidRDefault="00BE60F8" w:rsidP="00337286">
      <w:pPr>
        <w:rPr>
          <w:rFonts w:ascii="Century Gothic" w:hAnsi="Century Gothic" w:cs="Arial"/>
          <w:b/>
          <w:color w:val="595959" w:themeColor="text1" w:themeTint="A6"/>
        </w:rPr>
      </w:pPr>
    </w:p>
    <w:tbl>
      <w:tblPr>
        <w:tblW w:w="14660" w:type="dxa"/>
        <w:tblCellMar>
          <w:left w:w="0" w:type="dxa"/>
          <w:right w:w="0" w:type="dxa"/>
        </w:tblCellMar>
        <w:tblLook w:val="0420" w:firstRow="1" w:lastRow="0" w:firstColumn="0" w:lastColumn="0" w:noHBand="0" w:noVBand="1"/>
      </w:tblPr>
      <w:tblGrid>
        <w:gridCol w:w="2690"/>
        <w:gridCol w:w="11970"/>
      </w:tblGrid>
      <w:tr w:rsidR="006C489B" w:rsidRPr="00916D1D" w14:paraId="50A9AD93" w14:textId="77777777" w:rsidTr="00F62803">
        <w:trPr>
          <w:trHeight w:val="720"/>
        </w:trPr>
        <w:tc>
          <w:tcPr>
            <w:tcW w:w="269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NOTRE VISION</w:t>
            </w:r>
          </w:p>
        </w:tc>
        <w:tc>
          <w:tcPr>
            <w:tcW w:w="1197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FBC4D3"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Mener la transition mondiale vers le transport durable grâce à des solutions de recharge des véhicules électriques innovantes et accessibles.</w:t>
            </w:r>
          </w:p>
        </w:tc>
      </w:tr>
      <w:tr w:rsidR="006C489B" w:rsidRPr="00916D1D" w14:paraId="3B48F33A" w14:textId="77777777" w:rsidTr="00F62803">
        <w:trPr>
          <w:trHeight w:val="720"/>
        </w:trPr>
        <w:tc>
          <w:tcPr>
            <w:tcW w:w="269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NOTRE MISSION</w:t>
            </w:r>
          </w:p>
        </w:tc>
        <w:tc>
          <w:tcPr>
            <w:tcW w:w="1197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10BAC6DF"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Fournir des services logistiques et de recharge des véhicules électriques fluides, efficaces et écologiques, afin d’améliorer l’expérience des propriétaires de véhicules électriques et de contribuer à une planète plus verte.</w:t>
            </w:r>
          </w:p>
        </w:tc>
      </w:tr>
      <w:tr w:rsidR="006C489B" w:rsidRPr="00916D1D" w14:paraId="4ACE7497" w14:textId="77777777" w:rsidTr="00F62803">
        <w:trPr>
          <w:trHeight w:val="1008"/>
        </w:trPr>
        <w:tc>
          <w:tcPr>
            <w:tcW w:w="269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LE PRODUIT QUE NOUS FOURNISSONS</w:t>
            </w:r>
          </w:p>
        </w:tc>
        <w:tc>
          <w:tcPr>
            <w:tcW w:w="1197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686C01FF" w:rsidR="006C489B" w:rsidRPr="00916D1D" w:rsidRDefault="006C489B" w:rsidP="006C489B">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Des bornes de recharge de véhicules électriques ultramodernes et conviviales et un soutien logistique pour les propriétaires de véhicules électriques et les entreprises, en mettant l’accent sur la fiabilité, la rapidité et l’accessibilité.</w:t>
            </w:r>
          </w:p>
        </w:tc>
      </w:tr>
    </w:tbl>
    <w:p w14:paraId="1175FF75" w14:textId="77777777" w:rsidR="00355061" w:rsidRPr="00916D1D" w:rsidRDefault="00355061" w:rsidP="00163E61">
      <w:pPr>
        <w:rPr>
          <w:rFonts w:ascii="Century Gothic" w:eastAsia="Times New Roman" w:hAnsi="Century Gothic" w:cs="Times New Roman"/>
          <w:color w:val="595959" w:themeColor="text1" w:themeTint="A6"/>
          <w:sz w:val="22"/>
          <w:szCs w:val="22"/>
        </w:rPr>
      </w:pPr>
    </w:p>
    <w:p w14:paraId="6A93D495" w14:textId="1EFE00EB" w:rsidR="00163E61" w:rsidRPr="00D50C7B" w:rsidRDefault="00163E61" w:rsidP="00163E61">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ANALYSE DU MARCHÉ</w:t>
      </w:r>
    </w:p>
    <w:p w14:paraId="6262B7B6" w14:textId="77777777" w:rsidR="00B40952" w:rsidRDefault="00B40952" w:rsidP="00337286">
      <w:pPr>
        <w:rPr>
          <w:rFonts w:ascii="Century Gothic" w:hAnsi="Century Gothic" w:cs="Arial"/>
          <w:b/>
          <w:color w:val="595959" w:themeColor="text1" w:themeTint="A6"/>
          <w:sz w:val="32"/>
          <w:szCs w:val="36"/>
        </w:rPr>
      </w:pPr>
    </w:p>
    <w:tbl>
      <w:tblPr>
        <w:tblW w:w="14660" w:type="dxa"/>
        <w:tblCellMar>
          <w:left w:w="0" w:type="dxa"/>
          <w:right w:w="0" w:type="dxa"/>
        </w:tblCellMar>
        <w:tblLook w:val="0420" w:firstRow="1" w:lastRow="0" w:firstColumn="0" w:lastColumn="0" w:noHBand="0" w:noVBand="1"/>
      </w:tblPr>
      <w:tblGrid>
        <w:gridCol w:w="2840"/>
        <w:gridCol w:w="11820"/>
      </w:tblGrid>
      <w:tr w:rsidR="00F11300" w:rsidRPr="00163E61" w14:paraId="21B1E42C" w14:textId="77777777" w:rsidTr="00F62803">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QUI NOUS CIBLONS</w:t>
            </w:r>
          </w:p>
        </w:tc>
        <w:tc>
          <w:tcPr>
            <w:tcW w:w="1182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6FEDBFC0"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Les propriétaires de véhicules électriques et les acheteurs potentiels, les entreprises disposant de flottes de véhicules électriques et les lieux de réception souhaitant offrir des solutions de recharge de véhicules électriques.</w:t>
            </w:r>
          </w:p>
        </w:tc>
      </w:tr>
      <w:tr w:rsidR="00F11300" w:rsidRPr="00163E61" w14:paraId="2551177C" w14:textId="77777777" w:rsidTr="00F62803">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LE PROBLÈME QUE NOUS RÉSOLVONS</w:t>
            </w:r>
          </w:p>
        </w:tc>
        <w:tc>
          <w:tcPr>
            <w:tcW w:w="1182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0EE218FF"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Remédier au manque d’infrastructures de recharge fiables, rapides et accessibles pour les propriétaires de véhicules électriques et les entreprises, facilitant ainsi le passage au transport durable.</w:t>
            </w:r>
          </w:p>
        </w:tc>
      </w:tr>
      <w:tr w:rsidR="00F11300" w:rsidRPr="00163E61" w14:paraId="64F096D2" w14:textId="77777777" w:rsidTr="00F62803">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NOS CONCURRENTS</w:t>
            </w:r>
          </w:p>
        </w:tc>
        <w:tc>
          <w:tcPr>
            <w:tcW w:w="1182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12E5A603"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Les fournisseurs de réseaux de recharge de véhicules électriques déjà établis et les nouveaux arrivants proposant des offres similaires.</w:t>
            </w:r>
          </w:p>
        </w:tc>
      </w:tr>
      <w:tr w:rsidR="00F11300" w:rsidRPr="00163E61" w14:paraId="5B7B1761" w14:textId="77777777" w:rsidTr="00F62803">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NOTRE AVANTAGE CONCURRENTIEL</w:t>
            </w:r>
          </w:p>
        </w:tc>
        <w:tc>
          <w:tcPr>
            <w:tcW w:w="1182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0F1E7D7C"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Notre combinaison unique de technologie de pointe, de services axés sur le client et d’assistance logistique complète nous permet de nous différencier, garantissant une expérience de recharge supérieure.</w:t>
            </w:r>
          </w:p>
        </w:tc>
      </w:tr>
    </w:tbl>
    <w:p w14:paraId="1A4B7487" w14:textId="2D98E3D8" w:rsidR="00D50C7B" w:rsidRDefault="00D50C7B" w:rsidP="00337286">
      <w:pPr>
        <w:rPr>
          <w:rFonts w:ascii="Century Gothic" w:hAnsi="Century Gothic" w:cs="Arial"/>
          <w:b/>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lastRenderedPageBreak/>
        <w:t>PLAN MARKETING ET COMMERCIAL</w:t>
      </w:r>
    </w:p>
    <w:p w14:paraId="7EA4735B" w14:textId="22ABD1CE" w:rsidR="00D265BC" w:rsidRDefault="00D265BC">
      <w:pPr>
        <w:rPr>
          <w:rFonts w:ascii="Century Gothic" w:hAnsi="Century Gothic" w:cs="Arial"/>
          <w:b/>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F11300"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CANAUX MARKETING</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13B634C5"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Marketing numérique (SEO, PPC, réseaux sociaux), partenariats avec des constructeurs de véhicules électriques et participation à des expositions sur l’énergie verte et la durabilité.</w:t>
            </w:r>
          </w:p>
        </w:tc>
      </w:tr>
      <w:tr w:rsidR="00F11300"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SUPPORTS MARKETING</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5013328C"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Brochures informatives, contenu de site Web convaincant, campagnes attrayantes sur les réseaux sociaux et études de cas informatives.</w:t>
            </w:r>
          </w:p>
        </w:tc>
      </w:tr>
      <w:tr w:rsidR="00F11300"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STRATÉGIE TARIFAIRE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0B86FB8E"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Modèles de tarification compétitifs avec diverses options d’abonnement pour les différents besoins des utilisateurs, y compris le paiement à l’utilisation et des abonnements mensuels.</w:t>
            </w:r>
          </w:p>
        </w:tc>
      </w:tr>
      <w:tr w:rsidR="00F11300"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b/>
                <w:color w:val="595959" w:themeColor="text1" w:themeTint="A6"/>
                <w:sz w:val="22"/>
                <w:szCs w:val="22"/>
              </w:rPr>
              <w:t>CANAUX DE DISTRIBUTION</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546D3021" w:rsidR="00F11300" w:rsidRPr="00916D1D" w:rsidRDefault="00F11300" w:rsidP="00F11300">
            <w:pPr>
              <w:rPr>
                <w:rFonts w:ascii="Century Gothic" w:hAnsi="Century Gothic" w:cs="Arial"/>
                <w:b/>
                <w:color w:val="595959" w:themeColor="text1" w:themeTint="A6"/>
                <w:sz w:val="22"/>
                <w:szCs w:val="22"/>
              </w:rPr>
            </w:pPr>
            <w:r w:rsidRPr="00916D1D">
              <w:rPr>
                <w:rFonts w:ascii="Century Gothic" w:hAnsi="Century Gothic"/>
                <w:color w:val="000000"/>
                <w:kern w:val="24"/>
                <w:sz w:val="22"/>
                <w:szCs w:val="22"/>
                <w:highlight w:val="white"/>
              </w:rPr>
              <w:t>Ventes directes aux entreprises et ventes en ligne pour les particuliers, et placement stratégique de nos bornes de recharge dans des endroits très fréquentés.</w:t>
            </w:r>
          </w:p>
        </w:tc>
      </w:tr>
    </w:tbl>
    <w:p w14:paraId="5D69A4BE" w14:textId="6814BD06" w:rsidR="00D50C7B" w:rsidRDefault="00D50C7B">
      <w:pPr>
        <w:rPr>
          <w:rFonts w:ascii="Century Gothic" w:hAnsi="Century Gothic" w:cs="Arial"/>
          <w:b/>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OBJECTIFS PRINCIPAUX ET MESURES DE RÉUSSITE</w:t>
      </w:r>
    </w:p>
    <w:p w14:paraId="291098C5" w14:textId="77777777" w:rsidR="00355061" w:rsidRDefault="00355061" w:rsidP="00D265BC">
      <w:pPr>
        <w:rPr>
          <w:rFonts w:ascii="Century Gothic" w:eastAsia="Times New Roman" w:hAnsi="Century Gothic" w:cs="Times New Roman"/>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LES OBJECTIFS QUE NOUS PRÉVOYONS D’ATTEINDRE DANS UN DÉLAI DONNÉ ET COMMENT NOUS LES MESURERONS</w:t>
            </w:r>
          </w:p>
        </w:tc>
      </w:tr>
      <w:tr w:rsidR="00F11300"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b/>
                <w:color w:val="595959" w:themeColor="text1" w:themeTint="A6"/>
                <w:sz w:val="22"/>
                <w:szCs w:val="22"/>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3D2E8D6F"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color w:val="000000"/>
                <w:kern w:val="24"/>
                <w:sz w:val="22"/>
                <w:szCs w:val="22"/>
              </w:rPr>
              <w:t>Augmenter le nombre de bornes de recharge de 30 % au cours de l’année. MÉTRIQUE : suivre le nombre de nouvelles installations chaque mois.</w:t>
            </w:r>
          </w:p>
        </w:tc>
      </w:tr>
      <w:tr w:rsidR="00F11300"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b/>
                <w:color w:val="595959" w:themeColor="text1" w:themeTint="A6"/>
                <w:sz w:val="22"/>
                <w:szCs w:val="22"/>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3DF4AAF9"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color w:val="000000"/>
                <w:kern w:val="24"/>
                <w:sz w:val="22"/>
                <w:szCs w:val="22"/>
              </w:rPr>
              <w:t>Augmenter notre clientèle de 25 % d’ici la fin de l’année. MÉTRIQUE : mesurer les abonnements et les taux d’utilisation.</w:t>
            </w:r>
          </w:p>
        </w:tc>
      </w:tr>
      <w:tr w:rsidR="00F11300"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b/>
                <w:color w:val="595959" w:themeColor="text1" w:themeTint="A6"/>
                <w:sz w:val="22"/>
                <w:szCs w:val="22"/>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6E4FEF84" w:rsidR="00F11300" w:rsidRPr="00916D1D" w:rsidRDefault="00F11300" w:rsidP="00F11300">
            <w:pPr>
              <w:rPr>
                <w:rFonts w:ascii="Century Gothic" w:eastAsia="Times New Roman" w:hAnsi="Century Gothic" w:cs="Times New Roman"/>
                <w:color w:val="595959" w:themeColor="text1" w:themeTint="A6"/>
                <w:sz w:val="22"/>
                <w:szCs w:val="22"/>
              </w:rPr>
            </w:pPr>
            <w:r w:rsidRPr="00916D1D">
              <w:rPr>
                <w:rFonts w:ascii="Century Gothic" w:hAnsi="Century Gothic"/>
                <w:color w:val="000000"/>
                <w:kern w:val="24"/>
                <w:sz w:val="22"/>
                <w:szCs w:val="22"/>
              </w:rPr>
              <w:t>Atteindre un taux de satisfaction client supérieur à 90 %. MÉTRIQUE : utiliser les enquêtes auprès des clients et les commentaires pour assurer une amélioration continue.</w:t>
            </w:r>
          </w:p>
        </w:tc>
      </w:tr>
    </w:tbl>
    <w:p w14:paraId="27ABF554" w14:textId="77777777" w:rsidR="00355061" w:rsidRPr="00D50C7B" w:rsidRDefault="00355061" w:rsidP="00D265BC">
      <w:pPr>
        <w:rPr>
          <w:rFonts w:ascii="Century Gothic" w:eastAsia="Times New Roman" w:hAnsi="Century Gothic" w:cs="Times New Roman"/>
          <w:color w:val="595959" w:themeColor="text1" w:themeTint="A6"/>
          <w:sz w:val="44"/>
          <w:szCs w:val="44"/>
        </w:rPr>
      </w:pPr>
    </w:p>
    <w:p w14:paraId="5D4B5215" w14:textId="1B48338E" w:rsidR="00D50C7B" w:rsidRDefault="00D50C7B" w:rsidP="00337286">
      <w:pPr>
        <w:rPr>
          <w:rFonts w:ascii="Century Gothic" w:hAnsi="Century Gothic" w:cs="Arial"/>
          <w:b/>
          <w:color w:val="595959" w:themeColor="text1" w:themeTint="A6"/>
          <w:sz w:val="32"/>
          <w:szCs w:val="36"/>
        </w:rPr>
      </w:pPr>
    </w:p>
    <w:p w14:paraId="5DCDFC8B" w14:textId="77777777" w:rsidR="00355061" w:rsidRDefault="00355061" w:rsidP="00337286">
      <w:pPr>
        <w:rPr>
          <w:rFonts w:ascii="Century Gothic" w:hAnsi="Century Gothic" w:cs="Arial"/>
          <w:b/>
          <w:color w:val="595959" w:themeColor="text1" w:themeTint="A6"/>
          <w:sz w:val="32"/>
          <w:szCs w:val="36"/>
        </w:rPr>
      </w:pPr>
    </w:p>
    <w:p w14:paraId="34A5DEC4" w14:textId="77777777" w:rsidR="00355061" w:rsidRDefault="00355061" w:rsidP="00337286">
      <w:pPr>
        <w:rPr>
          <w:rFonts w:ascii="Century Gothic" w:hAnsi="Century Gothic" w:cs="Arial"/>
          <w:b/>
          <w:color w:val="595959" w:themeColor="text1" w:themeTint="A6"/>
          <w:sz w:val="32"/>
          <w:szCs w:val="36"/>
        </w:rPr>
      </w:pPr>
    </w:p>
    <w:p w14:paraId="1465E6EA" w14:textId="0AD77348" w:rsidR="00355061" w:rsidRPr="00355061" w:rsidRDefault="00355061" w:rsidP="00355061">
      <w:pPr>
        <w:rPr>
          <w:rFonts w:ascii="Century Gothic" w:hAnsi="Century Gothic" w:cs="Arial"/>
          <w:bCs/>
          <w:color w:val="595959" w:themeColor="text1" w:themeTint="A6"/>
          <w:sz w:val="44"/>
          <w:szCs w:val="44"/>
        </w:rPr>
      </w:pPr>
      <w:r>
        <w:rPr>
          <w:rFonts w:ascii="Century Gothic" w:hAnsi="Century Gothic"/>
          <w:color w:val="595959" w:themeColor="text1" w:themeTint="A6"/>
          <w:sz w:val="44"/>
        </w:rPr>
        <w:lastRenderedPageBreak/>
        <w:t>CALENDRIER DES JALONS POUR L’ANNÉE 20XX</w:t>
      </w:r>
    </w:p>
    <w:p w14:paraId="71B91B9D" w14:textId="1C80A580" w:rsidR="00D50C7B" w:rsidRDefault="00D50C7B">
      <w:pPr>
        <w:rPr>
          <w:rFonts w:ascii="Century Gothic" w:hAnsi="Century Gothic" w:cs="Arial"/>
          <w:b/>
          <w:color w:val="595959" w:themeColor="text1" w:themeTint="A6"/>
          <w:sz w:val="32"/>
          <w:szCs w:val="36"/>
        </w:rPr>
      </w:pPr>
    </w:p>
    <w:p w14:paraId="6732812E" w14:textId="77777777" w:rsidR="00B40952" w:rsidRDefault="00B40952" w:rsidP="00337286">
      <w:pPr>
        <w:rPr>
          <w:rFonts w:ascii="Century Gothic" w:hAnsi="Century Gothic" w:cs="Arial"/>
          <w:b/>
          <w:color w:val="595959" w:themeColor="text1" w:themeTint="A6"/>
          <w:sz w:val="32"/>
          <w:szCs w:val="36"/>
        </w:rPr>
      </w:pPr>
    </w:p>
    <w:p w14:paraId="6B0FD5EE" w14:textId="002EB110" w:rsidR="006F6DA2" w:rsidRDefault="006F6DA2" w:rsidP="00337286">
      <w:pPr>
        <w:rPr>
          <w:rFonts w:ascii="Century Gothic" w:hAnsi="Century Gothic" w:cs="Arial"/>
          <w:b/>
          <w:color w:val="808080" w:themeColor="background1" w:themeShade="80"/>
          <w:sz w:val="32"/>
          <w:szCs w:val="36"/>
        </w:rPr>
      </w:pPr>
      <w:r>
        <w:rPr>
          <w:rFonts w:ascii="Century Gothic" w:hAnsi="Century Gothic"/>
          <w:b/>
          <w:color w:val="595959" w:themeColor="text1" w:themeTint="A6"/>
          <w:sz w:val="32"/>
        </w:rPr>
        <w:t xml:space="preserve">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p w14:paraId="598EFB1A" w14:textId="5CFEEFF0" w:rsidR="001534AE" w:rsidRDefault="00356899" w:rsidP="00D97508">
      <w:pPr>
        <w:rPr>
          <w:rFonts w:ascii="Century Gothic" w:hAnsi="Century Gothic"/>
          <w:b/>
          <w:bCs/>
          <w:sz w:val="22"/>
          <w:szCs w:val="22"/>
        </w:rPr>
      </w:pPr>
      <w:r>
        <w:rPr>
          <w:noProof/>
        </w:rPr>
        <mc:AlternateContent>
          <mc:Choice Requires="wpg">
            <w:drawing>
              <wp:anchor distT="0" distB="0" distL="114300" distR="114300" simplePos="0" relativeHeight="250762752" behindDoc="0" locked="0" layoutInCell="1" allowOverlap="1" wp14:anchorId="6CF26693" wp14:editId="3E005A85">
                <wp:simplePos x="0" y="0"/>
                <wp:positionH relativeFrom="column">
                  <wp:posOffset>8002524</wp:posOffset>
                </wp:positionH>
                <wp:positionV relativeFrom="paragraph">
                  <wp:posOffset>527284</wp:posOffset>
                </wp:positionV>
                <wp:extent cx="1819427" cy="746867"/>
                <wp:effectExtent l="38100" t="0" r="0" b="34290"/>
                <wp:wrapNone/>
                <wp:docPr id="14" name="Group 14"/>
                <wp:cNvGraphicFramePr/>
                <a:graphic xmlns:a="http://schemas.openxmlformats.org/drawingml/2006/main">
                  <a:graphicData uri="http://schemas.microsoft.com/office/word/2010/wordprocessingGroup">
                    <wpg:wgp>
                      <wpg:cNvGrpSpPr/>
                      <wpg:grpSpPr>
                        <a:xfrm>
                          <a:off x="0" y="0"/>
                          <a:ext cx="1819427" cy="746867"/>
                          <a:chOff x="242496" y="-373143"/>
                          <a:chExt cx="1823142" cy="2359689"/>
                        </a:xfrm>
                      </wpg:grpSpPr>
                      <wps:wsp>
                        <wps:cNvPr id="15" name="Text Box 15"/>
                        <wps:cNvSpPr txBox="1"/>
                        <wps:spPr>
                          <a:xfrm>
                            <a:off x="376207" y="-373143"/>
                            <a:ext cx="1689431" cy="2359689"/>
                          </a:xfrm>
                          <a:prstGeom prst="rect">
                            <a:avLst/>
                          </a:prstGeom>
                          <a:noFill/>
                          <a:ln w="6350">
                            <a:noFill/>
                          </a:ln>
                        </wps:spPr>
                        <wps:txbx>
                          <w:txbxContent>
                            <w:p w14:paraId="71A84136" w14:textId="5BD9F26D" w:rsidR="006F6DA2" w:rsidRPr="004947DB" w:rsidRDefault="00967F53" w:rsidP="00D97508">
                              <w:pPr>
                                <w:rPr>
                                  <w:rFonts w:ascii="Century Gothic" w:hAnsi="Century Gothic"/>
                                  <w:sz w:val="20"/>
                                  <w:szCs w:val="20"/>
                                </w:rPr>
                              </w:pPr>
                              <w:r>
                                <w:rPr>
                                  <w:rFonts w:ascii="Century Gothic" w:hAnsi="Century Gothic"/>
                                  <w:sz w:val="20"/>
                                </w:rPr>
                                <w:t xml:space="preserve">Fin d’exercice : consulter les commentaires </w:t>
                              </w:r>
                              <w:r w:rsidR="00F62803">
                                <w:rPr>
                                  <w:rFonts w:ascii="Century Gothic" w:hAnsi="Century Gothic"/>
                                  <w:sz w:val="20"/>
                                </w:rPr>
                                <w:br/>
                              </w:r>
                              <w:r>
                                <w:rPr>
                                  <w:rFonts w:ascii="Century Gothic" w:hAnsi="Century Gothic"/>
                                  <w:sz w:val="20"/>
                                </w:rPr>
                                <w:t>des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1026" style="position:absolute;margin-left:630.1pt;margin-top:41.5pt;width:143.25pt;height:58.8pt;z-index:250762752;mso-width-relative:margin;mso-height-relative:margin" coordorigin="2424,-3731" coordsize="18231,2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">
                <v:shapetype id="_x0000_t202" coordsize="21600,21600" o:spt="202" path="m,l,21600r21600,l21600,xe">
                  <v:stroke joinstyle="miter"/>
                  <v:path gradientshapeok="t" o:connecttype="rect"/>
                </v:shapetype>
                <v:shape id="Text Box 15" o:spid="_x0000_s1027" type="#_x0000_t202" style="position:absolute;left:3762;top:-3731;width:16894;height:2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5BD9F26D" w:rsidR="006F6DA2" w:rsidRPr="004947DB" w:rsidRDefault="00967F53" w:rsidP="00D97508">
                        <w:pPr>
                          <w:rPr>
                            <w:rFonts w:ascii="Century Gothic" w:hAnsi="Century Gothic"/>
                            <w:sz w:val="20"/>
                            <w:szCs w:val="20"/>
                          </w:rPr>
                        </w:pPr>
                        <w:r>
                          <w:rPr>
                            <w:rFonts w:ascii="Century Gothic" w:hAnsi="Century Gothic"/>
                            <w:sz w:val="20"/>
                          </w:rPr>
                          <w:t xml:space="preserve">Fin d’exercice : consulter les commentaires </w:t>
                        </w:r>
                        <w:r w:rsidR="00F62803">
                          <w:rPr>
                            <w:rFonts w:ascii="Century Gothic" w:hAnsi="Century Gothic"/>
                            <w:sz w:val="20"/>
                          </w:rPr>
                          <w:br/>
                        </w:r>
                        <w:r>
                          <w:rPr>
                            <w:rFonts w:ascii="Century Gothic" w:hAnsi="Century Gothic"/>
                            <w:sz w:val="20"/>
                          </w:rPr>
                          <w:t>des clients</w:t>
                        </w:r>
                      </w:p>
                    </w:txbxContent>
                  </v:textbox>
                </v:shape>
                <v:line id="Straight Connector 16"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169B4050" w:rsidR="00D97508" w:rsidRDefault="00356899" w:rsidP="00D97508">
      <w:pPr>
        <w:rPr>
          <w:b/>
          <w:bCs/>
        </w:rPr>
      </w:pPr>
      <w:r>
        <w:rPr>
          <w:noProof/>
        </w:rPr>
        <mc:AlternateContent>
          <mc:Choice Requires="wpg">
            <w:drawing>
              <wp:anchor distT="0" distB="0" distL="114300" distR="114300" simplePos="0" relativeHeight="250790400" behindDoc="0" locked="0" layoutInCell="1" allowOverlap="1" wp14:anchorId="306FD62A" wp14:editId="7CE2FCA8">
                <wp:simplePos x="0" y="0"/>
                <wp:positionH relativeFrom="column">
                  <wp:posOffset>21590</wp:posOffset>
                </wp:positionH>
                <wp:positionV relativeFrom="paragraph">
                  <wp:posOffset>83185</wp:posOffset>
                </wp:positionV>
                <wp:extent cx="1856105"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856105" cy="596900"/>
                          <a:chOff x="242496" y="70552"/>
                          <a:chExt cx="1859747" cy="1883970"/>
                        </a:xfrm>
                      </wpg:grpSpPr>
                      <wps:wsp>
                        <wps:cNvPr id="42" name="Text Box 42"/>
                        <wps:cNvSpPr txBox="1"/>
                        <wps:spPr>
                          <a:xfrm>
                            <a:off x="288264" y="70552"/>
                            <a:ext cx="1813979" cy="1789380"/>
                          </a:xfrm>
                          <a:prstGeom prst="rect">
                            <a:avLst/>
                          </a:prstGeom>
                          <a:noFill/>
                          <a:ln w="6350">
                            <a:noFill/>
                          </a:ln>
                        </wps:spPr>
                        <wps:txb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T1 : lancer la campagne de marketing numérique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1030" style="position:absolute;margin-left:1.7pt;margin-top:6.55pt;width:146.15pt;height:47pt;z-index:250790400;mso-width-relative:margin;mso-height-relative:margin" coordorigin="2424,705" coordsize="18597,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">
                <v:shape id="Text Box 42" o:spid="_x0000_s1031" type="#_x0000_t202" style="position:absolute;left:2882;top:705;width:18140;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T1 : lancer la campagne de marketing numérique</w:t>
                        </w:r>
                      </w:p>
                    </w:txbxContent>
                  </v:textbox>
                </v:shape>
                <v:line id="Straight Connector 43"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916D1D">
        <w:rPr>
          <w:noProof/>
        </w:rPr>
        <mc:AlternateContent>
          <mc:Choice Requires="wpg">
            <w:drawing>
              <wp:anchor distT="0" distB="0" distL="114300" distR="114300" simplePos="0" relativeHeight="250776064" behindDoc="0" locked="0" layoutInCell="1" allowOverlap="1" wp14:anchorId="1D410755" wp14:editId="32B0661B">
                <wp:simplePos x="0" y="0"/>
                <wp:positionH relativeFrom="column">
                  <wp:posOffset>5038725</wp:posOffset>
                </wp:positionH>
                <wp:positionV relativeFrom="paragraph">
                  <wp:posOffset>43180</wp:posOffset>
                </wp:positionV>
                <wp:extent cx="1361440" cy="596900"/>
                <wp:effectExtent l="38100" t="0" r="0" b="31750"/>
                <wp:wrapNone/>
                <wp:docPr id="10" name="Group 10"/>
                <wp:cNvGraphicFramePr/>
                <a:graphic xmlns:a="http://schemas.openxmlformats.org/drawingml/2006/main">
                  <a:graphicData uri="http://schemas.microsoft.com/office/word/2010/wordprocessingGroup">
                    <wpg:wgp>
                      <wpg:cNvGrpSpPr/>
                      <wpg:grpSpPr>
                        <a:xfrm>
                          <a:off x="0" y="0"/>
                          <a:ext cx="1361440" cy="596900"/>
                          <a:chOff x="242496" y="70552"/>
                          <a:chExt cx="1363843" cy="1883970"/>
                        </a:xfrm>
                      </wpg:grpSpPr>
                      <wps:wsp>
                        <wps:cNvPr id="11" name="Text Box 11"/>
                        <wps:cNvSpPr txBox="1"/>
                        <wps:spPr>
                          <a:xfrm>
                            <a:off x="288264" y="70552"/>
                            <a:ext cx="1318075" cy="1789380"/>
                          </a:xfrm>
                          <a:prstGeom prst="rect">
                            <a:avLst/>
                          </a:prstGeom>
                          <a:noFill/>
                          <a:ln w="6350">
                            <a:noFill/>
                          </a:ln>
                        </wps:spPr>
                        <wps:txb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T4 : développer les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1034" style="position:absolute;margin-left:396.75pt;margin-top:3.4pt;width:107.2pt;height:47pt;z-index:250776064;mso-width-relative:margin;mso-height-relative:margin" coordorigin="2424,705" coordsize="13638,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">
                <v:shape id="Text Box 11" o:spid="_x0000_s1035" type="#_x0000_t202" style="position:absolute;left:2882;top:705;width:13181;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T4 : développer les partenariats</w:t>
                        </w:r>
                      </w:p>
                    </w:txbxContent>
                  </v:textbox>
                </v:shape>
                <v:line id="Straight Connector 12"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916D1D">
        <w:rPr>
          <w:noProof/>
        </w:rPr>
        <mc:AlternateContent>
          <mc:Choice Requires="wpg">
            <w:drawing>
              <wp:anchor distT="0" distB="0" distL="114300" distR="114300" simplePos="0" relativeHeight="250770944" behindDoc="0" locked="0" layoutInCell="1" allowOverlap="1" wp14:anchorId="0AA94F42" wp14:editId="2A6A572E">
                <wp:simplePos x="0" y="0"/>
                <wp:positionH relativeFrom="column">
                  <wp:posOffset>2105024</wp:posOffset>
                </wp:positionH>
                <wp:positionV relativeFrom="paragraph">
                  <wp:posOffset>71755</wp:posOffset>
                </wp:positionV>
                <wp:extent cx="1495425"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495425"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T2 : mettre en service 20 nouvelles bornes de recharge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1038" style="position:absolute;margin-left:165.75pt;margin-top:5.65pt;width:117.75pt;height:47pt;z-index:25077094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">
                <v:shape id="Text Box 7"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T2 : mettre en service 20 nouvelles bornes de recharge</w:t>
                        </w:r>
                      </w:p>
                    </w:txbxContent>
                  </v:textbox>
                </v:shape>
                <v:line id="Straight Connector 8"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2E08830C" w:rsidR="003C0A0A" w:rsidRDefault="00916D1D" w:rsidP="003A371B">
      <w:pPr>
        <w:tabs>
          <w:tab w:val="left" w:pos="3718"/>
        </w:tabs>
        <w:jc w:val="center"/>
      </w:pPr>
      <w:r>
        <w:rPr>
          <w:noProof/>
        </w:rPr>
        <mc:AlternateContent>
          <mc:Choice Requires="wpg">
            <w:drawing>
              <wp:anchor distT="0" distB="0" distL="114300" distR="114300" simplePos="0" relativeHeight="250782208" behindDoc="0" locked="0" layoutInCell="1" allowOverlap="1" wp14:anchorId="7347DBEE" wp14:editId="4398E6C5">
                <wp:simplePos x="0" y="0"/>
                <wp:positionH relativeFrom="column">
                  <wp:posOffset>3076575</wp:posOffset>
                </wp:positionH>
                <wp:positionV relativeFrom="paragraph">
                  <wp:posOffset>64770</wp:posOffset>
                </wp:positionV>
                <wp:extent cx="1781174" cy="752475"/>
                <wp:effectExtent l="0" t="19050" r="0" b="0"/>
                <wp:wrapNone/>
                <wp:docPr id="24" name="Group 24"/>
                <wp:cNvGraphicFramePr/>
                <a:graphic xmlns:a="http://schemas.openxmlformats.org/drawingml/2006/main">
                  <a:graphicData uri="http://schemas.microsoft.com/office/word/2010/wordprocessingGroup">
                    <wpg:wgp>
                      <wpg:cNvGrpSpPr/>
                      <wpg:grpSpPr>
                        <a:xfrm>
                          <a:off x="0" y="0"/>
                          <a:ext cx="1781174" cy="752475"/>
                          <a:chOff x="195580" y="-641985"/>
                          <a:chExt cx="2482814" cy="1003206"/>
                        </a:xfrm>
                      </wpg:grpSpPr>
                      <wps:wsp>
                        <wps:cNvPr id="25" name="Text Box 25"/>
                        <wps:cNvSpPr txBox="1"/>
                        <wps:spPr>
                          <a:xfrm>
                            <a:off x="341313" y="-416389"/>
                            <a:ext cx="2337081" cy="777610"/>
                          </a:xfrm>
                          <a:prstGeom prst="rect">
                            <a:avLst/>
                          </a:prstGeom>
                          <a:noFill/>
                          <a:ln w="6350">
                            <a:noFill/>
                          </a:ln>
                        </wps:spPr>
                        <wps:txb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T3 : lancer un programme de fidélité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1042" style="position:absolute;left:0;text-align:left;margin-left:242.25pt;margin-top:5.1pt;width:140.25pt;height:59.25pt;z-index:250782208;mso-width-relative:margin;mso-height-relative:margin" coordorigin="1955,-6419" coordsize="24828,1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">
                <v:shape id="Text Box 25" o:spid="_x0000_s1043" type="#_x0000_t202" style="position:absolute;left:3413;top:-4163;width:23370;height:7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T3 : lancer un programme de fidélité</w:t>
                        </w:r>
                      </w:p>
                    </w:txbxContent>
                  </v:textbox>
                </v:shape>
                <v:line id="Straight Connector 29"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55061">
        <w:rPr>
          <w:noProof/>
        </w:rPr>
        <mc:AlternateContent>
          <mc:Choice Requires="wpg">
            <w:drawing>
              <wp:anchor distT="0" distB="0" distL="114300" distR="114300" simplePos="0" relativeHeight="250785280" behindDoc="0" locked="0" layoutInCell="1" allowOverlap="1" wp14:anchorId="26EB45F5" wp14:editId="0F8FA7F6">
                <wp:simplePos x="0" y="0"/>
                <wp:positionH relativeFrom="column">
                  <wp:posOffset>6527800</wp:posOffset>
                </wp:positionH>
                <wp:positionV relativeFrom="paragraph">
                  <wp:posOffset>97790</wp:posOffset>
                </wp:positionV>
                <wp:extent cx="1477074" cy="623570"/>
                <wp:effectExtent l="0" t="19050" r="0" b="5080"/>
                <wp:wrapNone/>
                <wp:docPr id="18" name="Group 18"/>
                <wp:cNvGraphicFramePr/>
                <a:graphic xmlns:a="http://schemas.openxmlformats.org/drawingml/2006/main">
                  <a:graphicData uri="http://schemas.microsoft.com/office/word/2010/wordprocessingGroup">
                    <wpg:wgp>
                      <wpg:cNvGrpSpPr/>
                      <wpg:grpSpPr>
                        <a:xfrm>
                          <a:off x="0" y="0"/>
                          <a:ext cx="1477074" cy="623570"/>
                          <a:chOff x="195580" y="-641985"/>
                          <a:chExt cx="2058923" cy="831349"/>
                        </a:xfrm>
                      </wpg:grpSpPr>
                      <wps:wsp>
                        <wps:cNvPr id="19" name="Text Box 19"/>
                        <wps:cNvSpPr txBox="1"/>
                        <wps:spPr>
                          <a:xfrm>
                            <a:off x="341313" y="-416389"/>
                            <a:ext cx="1913190" cy="605753"/>
                          </a:xfrm>
                          <a:prstGeom prst="rect">
                            <a:avLst/>
                          </a:prstGeom>
                          <a:noFill/>
                          <a:ln w="6350">
                            <a:noFill/>
                          </a:ln>
                        </wps:spPr>
                        <wps:txb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T4 : atteindre 25 % d’augmentation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1046" style="position:absolute;left:0;text-align:left;margin-left:514pt;margin-top:7.7pt;width:116.3pt;height:49.1pt;z-index:250785280;mso-width-relative:margin;mso-height-relative:margin" coordorigin="1955,-6419" coordsize="20589,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">
                <v:shape id="Text Box 19" o:spid="_x0000_s1047" type="#_x0000_t202" style="position:absolute;left:3413;top:-4163;width:19132;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T4 : atteindre 25 % d’augmentation</w:t>
                        </w:r>
                      </w:p>
                    </w:txbxContent>
                  </v:textbox>
                </v:shape>
                <v:line id="Straight Connector 20"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0765824" behindDoc="0" locked="0" layoutInCell="1" allowOverlap="1" wp14:anchorId="3FCD57FE" wp14:editId="17983436">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C50C4" id="Straight Connector 3"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p w14:paraId="62E3225F" w14:textId="77777777" w:rsidR="00355061" w:rsidRDefault="00355061">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EXCLUSION DE RESPONSABILITÉ</w:t>
            </w:r>
          </w:p>
          <w:p w14:paraId="5BC58691" w14:textId="77777777" w:rsidR="00B66E8C" w:rsidRDefault="00B66E8C" w:rsidP="0076417B">
            <w:pPr>
              <w:rPr>
                <w:rFonts w:ascii="Century Gothic" w:hAnsi="Century Gothic" w:cs="Arial"/>
                <w:szCs w:val="20"/>
              </w:rPr>
            </w:pPr>
          </w:p>
          <w:p w14:paraId="43C85745" w14:textId="533617CA" w:rsidR="00B66E8C" w:rsidRDefault="00B66E8C" w:rsidP="0076417B">
            <w:pPr>
              <w:rPr>
                <w:rFonts w:ascii="Century Gothic" w:hAnsi="Century Gothic" w:cs="Arial"/>
                <w:sz w:val="20"/>
                <w:szCs w:val="20"/>
              </w:rPr>
            </w:pPr>
            <w:r>
              <w:rPr>
                <w:rFonts w:ascii="Century Gothic" w:hAnsi="Century Gothic"/>
              </w:rPr>
              <w:t xml:space="preserve">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w:t>
            </w:r>
            <w:r w:rsidR="00F62803">
              <w:rPr>
                <w:rFonts w:ascii="Century Gothic" w:hAnsi="Century Gothic"/>
              </w:rPr>
              <w:br/>
            </w:r>
            <w:r>
              <w:rPr>
                <w:rFonts w:ascii="Century Gothic" w:hAnsi="Century Gothic"/>
              </w:rPr>
              <w:t>à vos propres risques.</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7AAE0" w14:textId="77777777" w:rsidR="00020E80" w:rsidRDefault="00020E80" w:rsidP="004C6C01">
      <w:r>
        <w:separator/>
      </w:r>
    </w:p>
  </w:endnote>
  <w:endnote w:type="continuationSeparator" w:id="0">
    <w:p w14:paraId="748EA707" w14:textId="77777777" w:rsidR="00020E80" w:rsidRDefault="00020E8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DBB1" w14:textId="77777777" w:rsidR="00020E80" w:rsidRDefault="00020E80" w:rsidP="004C6C01">
      <w:r>
        <w:separator/>
      </w:r>
    </w:p>
  </w:footnote>
  <w:footnote w:type="continuationSeparator" w:id="0">
    <w:p w14:paraId="4A5D704A" w14:textId="77777777" w:rsidR="00020E80" w:rsidRDefault="00020E8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20E80"/>
    <w:rsid w:val="0004588C"/>
    <w:rsid w:val="00046F5A"/>
    <w:rsid w:val="00050697"/>
    <w:rsid w:val="00080417"/>
    <w:rsid w:val="000D3136"/>
    <w:rsid w:val="000D3E08"/>
    <w:rsid w:val="000D5651"/>
    <w:rsid w:val="000E30AF"/>
    <w:rsid w:val="000E4456"/>
    <w:rsid w:val="000F315D"/>
    <w:rsid w:val="00104C41"/>
    <w:rsid w:val="00113C3F"/>
    <w:rsid w:val="001430C2"/>
    <w:rsid w:val="00152249"/>
    <w:rsid w:val="001534AE"/>
    <w:rsid w:val="00163E61"/>
    <w:rsid w:val="0016438F"/>
    <w:rsid w:val="00182D40"/>
    <w:rsid w:val="00190874"/>
    <w:rsid w:val="00197AA4"/>
    <w:rsid w:val="001C29A2"/>
    <w:rsid w:val="001D2172"/>
    <w:rsid w:val="001D3084"/>
    <w:rsid w:val="001D5095"/>
    <w:rsid w:val="002017FA"/>
    <w:rsid w:val="00210E6D"/>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061"/>
    <w:rsid w:val="00355C1F"/>
    <w:rsid w:val="00356899"/>
    <w:rsid w:val="0039551A"/>
    <w:rsid w:val="003A371B"/>
    <w:rsid w:val="003B5EDA"/>
    <w:rsid w:val="003B789B"/>
    <w:rsid w:val="003C0A0A"/>
    <w:rsid w:val="003C0FDB"/>
    <w:rsid w:val="003C118B"/>
    <w:rsid w:val="003E7211"/>
    <w:rsid w:val="003E7A58"/>
    <w:rsid w:val="003F50F4"/>
    <w:rsid w:val="00405E4D"/>
    <w:rsid w:val="00426070"/>
    <w:rsid w:val="0043640D"/>
    <w:rsid w:val="00440B96"/>
    <w:rsid w:val="00454309"/>
    <w:rsid w:val="00461C19"/>
    <w:rsid w:val="00464224"/>
    <w:rsid w:val="004672DC"/>
    <w:rsid w:val="00471C74"/>
    <w:rsid w:val="00484A71"/>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89B"/>
    <w:rsid w:val="006C4F93"/>
    <w:rsid w:val="006D26C3"/>
    <w:rsid w:val="006D7456"/>
    <w:rsid w:val="006D788B"/>
    <w:rsid w:val="006F6058"/>
    <w:rsid w:val="006F6DA2"/>
    <w:rsid w:val="0070368D"/>
    <w:rsid w:val="00710BDD"/>
    <w:rsid w:val="00745330"/>
    <w:rsid w:val="00746113"/>
    <w:rsid w:val="00751E49"/>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97E3B"/>
    <w:rsid w:val="008A027A"/>
    <w:rsid w:val="008A2577"/>
    <w:rsid w:val="009004B9"/>
    <w:rsid w:val="00910A9D"/>
    <w:rsid w:val="009153D4"/>
    <w:rsid w:val="00916D1D"/>
    <w:rsid w:val="00924670"/>
    <w:rsid w:val="00932766"/>
    <w:rsid w:val="0094736A"/>
    <w:rsid w:val="00952FBA"/>
    <w:rsid w:val="00967F53"/>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C6E93"/>
    <w:rsid w:val="00BD050D"/>
    <w:rsid w:val="00BE5B0D"/>
    <w:rsid w:val="00BE60F8"/>
    <w:rsid w:val="00BF5A50"/>
    <w:rsid w:val="00C132D0"/>
    <w:rsid w:val="00C45631"/>
    <w:rsid w:val="00C5249E"/>
    <w:rsid w:val="00C55EFE"/>
    <w:rsid w:val="00CE768F"/>
    <w:rsid w:val="00CF23D5"/>
    <w:rsid w:val="00D218D3"/>
    <w:rsid w:val="00D265BC"/>
    <w:rsid w:val="00D2688B"/>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07C3"/>
    <w:rsid w:val="00F10A8E"/>
    <w:rsid w:val="00F11300"/>
    <w:rsid w:val="00F17AD3"/>
    <w:rsid w:val="00F2225C"/>
    <w:rsid w:val="00F560F1"/>
    <w:rsid w:val="00F569CF"/>
    <w:rsid w:val="00F62803"/>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52184614">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11</TotalTime>
  <Pages>4</Pages>
  <Words>626</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12</cp:revision>
  <dcterms:created xsi:type="dcterms:W3CDTF">2024-06-06T01:34:00Z</dcterms:created>
  <dcterms:modified xsi:type="dcterms:W3CDTF">2024-09-24T14:16:00Z</dcterms:modified>
</cp:coreProperties>
</file>